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CCC" w:rsidRPr="00C758FC" w:rsidRDefault="00C53CCC" w:rsidP="00C53CCC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C758FC">
        <w:rPr>
          <w:rFonts w:ascii="Times New Roman" w:hAnsi="Times New Roman" w:cs="Times New Roman"/>
          <w:b/>
          <w:sz w:val="26"/>
          <w:szCs w:val="26"/>
        </w:rPr>
        <w:t>Приложение № 5.</w:t>
      </w:r>
    </w:p>
    <w:p w:rsidR="005D2E5B" w:rsidRPr="00C758FC" w:rsidRDefault="00B302F3" w:rsidP="00D7638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58FC">
        <w:rPr>
          <w:rFonts w:ascii="Times New Roman" w:hAnsi="Times New Roman" w:cs="Times New Roman"/>
          <w:b/>
          <w:sz w:val="26"/>
          <w:szCs w:val="26"/>
        </w:rPr>
        <w:t xml:space="preserve">Информация </w:t>
      </w:r>
    </w:p>
    <w:p w:rsidR="00916DF3" w:rsidRPr="00C758FC" w:rsidRDefault="00B302F3" w:rsidP="00D7638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58FC">
        <w:rPr>
          <w:rFonts w:ascii="Times New Roman" w:hAnsi="Times New Roman" w:cs="Times New Roman"/>
          <w:b/>
          <w:sz w:val="26"/>
          <w:szCs w:val="26"/>
        </w:rPr>
        <w:t xml:space="preserve">о работе </w:t>
      </w:r>
      <w:r w:rsidR="0039192E" w:rsidRPr="00C758FC">
        <w:rPr>
          <w:rFonts w:ascii="Times New Roman" w:hAnsi="Times New Roman" w:cs="Times New Roman"/>
          <w:b/>
          <w:sz w:val="26"/>
          <w:szCs w:val="26"/>
        </w:rPr>
        <w:t>КГКУ «</w:t>
      </w:r>
      <w:proofErr w:type="gramStart"/>
      <w:r w:rsidR="0039192E" w:rsidRPr="00C758FC">
        <w:rPr>
          <w:rFonts w:ascii="Times New Roman" w:hAnsi="Times New Roman" w:cs="Times New Roman"/>
          <w:b/>
          <w:sz w:val="26"/>
          <w:szCs w:val="26"/>
        </w:rPr>
        <w:t>Многофункциональный</w:t>
      </w:r>
      <w:proofErr w:type="gramEnd"/>
      <w:r w:rsidR="0039192E" w:rsidRPr="00C758FC">
        <w:rPr>
          <w:rFonts w:ascii="Times New Roman" w:hAnsi="Times New Roman" w:cs="Times New Roman"/>
          <w:b/>
          <w:sz w:val="26"/>
          <w:szCs w:val="26"/>
        </w:rPr>
        <w:t xml:space="preserve"> центр предоставления государственных и муниципальных услуг </w:t>
      </w:r>
      <w:r w:rsidR="00D64DFF" w:rsidRPr="00C758FC"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="0039192E" w:rsidRPr="00C758FC">
        <w:rPr>
          <w:rFonts w:ascii="Times New Roman" w:hAnsi="Times New Roman" w:cs="Times New Roman"/>
          <w:b/>
          <w:sz w:val="26"/>
          <w:szCs w:val="26"/>
        </w:rPr>
        <w:t>Камчатско</w:t>
      </w:r>
      <w:r w:rsidR="00D64DFF" w:rsidRPr="00C758FC">
        <w:rPr>
          <w:rFonts w:ascii="Times New Roman" w:hAnsi="Times New Roman" w:cs="Times New Roman"/>
          <w:b/>
          <w:sz w:val="26"/>
          <w:szCs w:val="26"/>
        </w:rPr>
        <w:t>м</w:t>
      </w:r>
      <w:r w:rsidR="0039192E" w:rsidRPr="00C758FC">
        <w:rPr>
          <w:rFonts w:ascii="Times New Roman" w:hAnsi="Times New Roman" w:cs="Times New Roman"/>
          <w:b/>
          <w:sz w:val="26"/>
          <w:szCs w:val="26"/>
        </w:rPr>
        <w:t xml:space="preserve"> кра</w:t>
      </w:r>
      <w:r w:rsidR="00D64DFF" w:rsidRPr="00C758FC">
        <w:rPr>
          <w:rFonts w:ascii="Times New Roman" w:hAnsi="Times New Roman" w:cs="Times New Roman"/>
          <w:b/>
          <w:sz w:val="26"/>
          <w:szCs w:val="26"/>
        </w:rPr>
        <w:t>е</w:t>
      </w:r>
      <w:r w:rsidR="0039192E" w:rsidRPr="00C758FC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:rsidR="009536E2" w:rsidRPr="00C758FC" w:rsidRDefault="005D2E5B" w:rsidP="00D7638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58FC">
        <w:rPr>
          <w:rFonts w:ascii="Times New Roman" w:hAnsi="Times New Roman" w:cs="Times New Roman"/>
          <w:b/>
          <w:sz w:val="26"/>
          <w:szCs w:val="26"/>
        </w:rPr>
        <w:t>за</w:t>
      </w:r>
      <w:r w:rsidR="0039192E" w:rsidRPr="00C758FC">
        <w:rPr>
          <w:rFonts w:ascii="Times New Roman" w:hAnsi="Times New Roman" w:cs="Times New Roman"/>
          <w:b/>
          <w:sz w:val="26"/>
          <w:szCs w:val="26"/>
        </w:rPr>
        <w:t xml:space="preserve"> 2014</w:t>
      </w:r>
      <w:r w:rsidRPr="00C758FC">
        <w:rPr>
          <w:rFonts w:ascii="Times New Roman" w:hAnsi="Times New Roman" w:cs="Times New Roman"/>
          <w:b/>
          <w:sz w:val="26"/>
          <w:szCs w:val="26"/>
        </w:rPr>
        <w:t> г</w:t>
      </w:r>
      <w:r w:rsidR="0039192E" w:rsidRPr="00C758FC">
        <w:rPr>
          <w:rFonts w:ascii="Times New Roman" w:hAnsi="Times New Roman" w:cs="Times New Roman"/>
          <w:b/>
          <w:sz w:val="26"/>
          <w:szCs w:val="26"/>
        </w:rPr>
        <w:t>од</w:t>
      </w:r>
    </w:p>
    <w:p w:rsidR="00D7638F" w:rsidRPr="00C758FC" w:rsidRDefault="00D7638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758FC">
        <w:rPr>
          <w:rFonts w:ascii="Times New Roman" w:hAnsi="Times New Roman" w:cs="Times New Roman"/>
          <w:sz w:val="26"/>
          <w:szCs w:val="26"/>
        </w:rPr>
        <w:t>В целях достижения целевого значения показателя  «доля граждан, имеющих доступ к получению государственных и муниципальных услуг по принципу "одного окна" по месту пребывания, в том числе в многофункциональных центрах предоставления государственных услуг, к 2015 году - не менее 90 процентов» (далее – Показатель), определенного Указом Президента Российской Федерации от 07.05. 2012 года № 601 «Об основных направлениях совершенствования системы государственного управления» в Камчатском</w:t>
      </w:r>
      <w:proofErr w:type="gramEnd"/>
      <w:r w:rsidRPr="00C758FC">
        <w:rPr>
          <w:rFonts w:ascii="Times New Roman" w:hAnsi="Times New Roman" w:cs="Times New Roman"/>
          <w:sz w:val="26"/>
          <w:szCs w:val="26"/>
        </w:rPr>
        <w:t xml:space="preserve"> крае разработана Концепция развития территориальной сети краевого государственного казенного учреждения «</w:t>
      </w:r>
      <w:proofErr w:type="gramStart"/>
      <w:r w:rsidRPr="00C758FC">
        <w:rPr>
          <w:rFonts w:ascii="Times New Roman" w:hAnsi="Times New Roman" w:cs="Times New Roman"/>
          <w:sz w:val="26"/>
          <w:szCs w:val="26"/>
        </w:rPr>
        <w:t>Многофункциональный</w:t>
      </w:r>
      <w:proofErr w:type="gramEnd"/>
      <w:r w:rsidRPr="00C758FC">
        <w:rPr>
          <w:rFonts w:ascii="Times New Roman" w:hAnsi="Times New Roman" w:cs="Times New Roman"/>
          <w:sz w:val="26"/>
          <w:szCs w:val="26"/>
        </w:rPr>
        <w:t xml:space="preserve"> центр предоставления государственных и муниципальных услуг в Камчатском крае» (далее-МФЦ).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 xml:space="preserve">Приоритетными направлениями совершенствования качества предоставления государственных и муниципальных услуг в </w:t>
      </w:r>
      <w:proofErr w:type="gramStart"/>
      <w:r w:rsidRPr="00C758FC">
        <w:rPr>
          <w:rFonts w:ascii="Times New Roman" w:hAnsi="Times New Roman" w:cs="Times New Roman"/>
          <w:sz w:val="26"/>
          <w:szCs w:val="26"/>
        </w:rPr>
        <w:t>Камчатском</w:t>
      </w:r>
      <w:proofErr w:type="gramEnd"/>
      <w:r w:rsidRPr="00C758FC">
        <w:rPr>
          <w:rFonts w:ascii="Times New Roman" w:hAnsi="Times New Roman" w:cs="Times New Roman"/>
          <w:sz w:val="26"/>
          <w:szCs w:val="26"/>
        </w:rPr>
        <w:t xml:space="preserve"> крае в 2013-2015 годах в соответствии с Концепцией являются: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>- обеспечение доступа заявителей к получению услуг по принципу «одного окна», в том числе в МФЦ, по месту пребывания;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>- достижение соответствия территориальных отделений МФЦ установленным законодательством требованиям;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>- организация осуществления административных процедур по взаимодействию с заявителями «универсальными» специалистами МФЦ.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 xml:space="preserve">С учетом положений концепции </w:t>
      </w:r>
      <w:proofErr w:type="gramStart"/>
      <w:r w:rsidRPr="00C758FC">
        <w:rPr>
          <w:rFonts w:ascii="Times New Roman" w:hAnsi="Times New Roman" w:cs="Times New Roman"/>
          <w:sz w:val="26"/>
          <w:szCs w:val="26"/>
        </w:rPr>
        <w:t>разработаны и утверждены</w:t>
      </w:r>
      <w:proofErr w:type="gramEnd"/>
      <w:r w:rsidRPr="00C758FC">
        <w:rPr>
          <w:rFonts w:ascii="Times New Roman" w:hAnsi="Times New Roman" w:cs="Times New Roman"/>
          <w:sz w:val="26"/>
          <w:szCs w:val="26"/>
        </w:rPr>
        <w:t xml:space="preserve"> базовые параметры схемы размещения многофункциональных центров и отделений (офисов) привлекаемых организаций на территории Камчатского края, План-график создания дополнительных офисов (филиалов) МФЦ. 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 xml:space="preserve">В 2013 году открыты дополнительные филиалы МФЦ в г. Петропавловск-Камчатский по ул. Океанская-94, в г. Вилючинск, в г. Елизово, в населенных пунктах </w:t>
      </w:r>
      <w:proofErr w:type="spellStart"/>
      <w:r w:rsidRPr="00C758FC">
        <w:rPr>
          <w:rFonts w:ascii="Times New Roman" w:hAnsi="Times New Roman" w:cs="Times New Roman"/>
          <w:sz w:val="26"/>
          <w:szCs w:val="26"/>
        </w:rPr>
        <w:t>Елизовского</w:t>
      </w:r>
      <w:proofErr w:type="spellEnd"/>
      <w:r w:rsidRPr="00C758F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758FC">
        <w:rPr>
          <w:rFonts w:ascii="Times New Roman" w:hAnsi="Times New Roman" w:cs="Times New Roman"/>
          <w:sz w:val="26"/>
          <w:szCs w:val="26"/>
        </w:rPr>
        <w:t>Быстринского</w:t>
      </w:r>
      <w:proofErr w:type="spellEnd"/>
      <w:r w:rsidRPr="00C758F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758FC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C758FC">
        <w:rPr>
          <w:rFonts w:ascii="Times New Roman" w:hAnsi="Times New Roman" w:cs="Times New Roman"/>
          <w:sz w:val="26"/>
          <w:szCs w:val="26"/>
        </w:rPr>
        <w:t xml:space="preserve">-Камчатского муниципальных районов. В 2014 году открыты дополнительные филиалы и офисы в Соболевском, </w:t>
      </w:r>
      <w:proofErr w:type="spellStart"/>
      <w:r w:rsidRPr="00C758FC">
        <w:rPr>
          <w:rFonts w:ascii="Times New Roman" w:hAnsi="Times New Roman" w:cs="Times New Roman"/>
          <w:sz w:val="26"/>
          <w:szCs w:val="26"/>
        </w:rPr>
        <w:t>Мильковском</w:t>
      </w:r>
      <w:proofErr w:type="spellEnd"/>
      <w:r w:rsidRPr="00C758FC">
        <w:rPr>
          <w:rFonts w:ascii="Times New Roman" w:hAnsi="Times New Roman" w:cs="Times New Roman"/>
          <w:sz w:val="26"/>
          <w:szCs w:val="26"/>
        </w:rPr>
        <w:t xml:space="preserve">, Усть-Камчатском, Усть-Большерецком, </w:t>
      </w:r>
      <w:proofErr w:type="spellStart"/>
      <w:r w:rsidRPr="00C758FC">
        <w:rPr>
          <w:rFonts w:ascii="Times New Roman" w:hAnsi="Times New Roman" w:cs="Times New Roman"/>
          <w:sz w:val="26"/>
          <w:szCs w:val="26"/>
        </w:rPr>
        <w:t>Пенжинском</w:t>
      </w:r>
      <w:proofErr w:type="spellEnd"/>
      <w:r w:rsidRPr="00C758F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758FC">
        <w:rPr>
          <w:rFonts w:ascii="Times New Roman" w:hAnsi="Times New Roman" w:cs="Times New Roman"/>
          <w:sz w:val="26"/>
          <w:szCs w:val="26"/>
        </w:rPr>
        <w:t>Тигильском</w:t>
      </w:r>
      <w:proofErr w:type="spellEnd"/>
      <w:r w:rsidRPr="00C758F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758FC">
        <w:rPr>
          <w:rFonts w:ascii="Times New Roman" w:hAnsi="Times New Roman" w:cs="Times New Roman"/>
          <w:sz w:val="26"/>
          <w:szCs w:val="26"/>
        </w:rPr>
        <w:t>Карагинском</w:t>
      </w:r>
      <w:proofErr w:type="spellEnd"/>
      <w:r w:rsidRPr="00C758F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758FC">
        <w:rPr>
          <w:rFonts w:ascii="Times New Roman" w:hAnsi="Times New Roman" w:cs="Times New Roman"/>
          <w:sz w:val="26"/>
          <w:szCs w:val="26"/>
        </w:rPr>
        <w:t>Олюторском</w:t>
      </w:r>
      <w:proofErr w:type="spellEnd"/>
      <w:r w:rsidRPr="00C758FC">
        <w:rPr>
          <w:rFonts w:ascii="Times New Roman" w:hAnsi="Times New Roman" w:cs="Times New Roman"/>
          <w:sz w:val="26"/>
          <w:szCs w:val="26"/>
        </w:rPr>
        <w:t xml:space="preserve"> муниципальных районах, </w:t>
      </w:r>
      <w:proofErr w:type="spellStart"/>
      <w:r w:rsidRPr="00C758FC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C758FC">
        <w:rPr>
          <w:rFonts w:ascii="Times New Roman" w:hAnsi="Times New Roman" w:cs="Times New Roman"/>
          <w:sz w:val="26"/>
          <w:szCs w:val="26"/>
        </w:rPr>
        <w:t xml:space="preserve">. Палана и в г. Петропавловск-Камчатский по ул. Дальневосточная-8, Пограничная д.17. </w:t>
      </w:r>
    </w:p>
    <w:p w:rsidR="005D2E5B" w:rsidRPr="00C758FC" w:rsidRDefault="005D2E5B" w:rsidP="00D64DF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2E5B" w:rsidRDefault="005D2E5B" w:rsidP="005D2E5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07D8899E" wp14:editId="19242E7E">
            <wp:extent cx="5934973" cy="2777706"/>
            <wp:effectExtent l="0" t="0" r="27940" b="2286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D2E5B" w:rsidRDefault="008F267D" w:rsidP="008F267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FE0200A" wp14:editId="105FF407">
            <wp:extent cx="5934973" cy="2725947"/>
            <wp:effectExtent l="0" t="0" r="27940" b="1778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D2E5B" w:rsidRDefault="005D2E5B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 xml:space="preserve">По состоянию на 31.12.2014 </w:t>
      </w:r>
      <w:r w:rsidR="00C758FC">
        <w:rPr>
          <w:rFonts w:ascii="Times New Roman" w:hAnsi="Times New Roman" w:cs="Times New Roman"/>
          <w:sz w:val="26"/>
          <w:szCs w:val="26"/>
        </w:rPr>
        <w:t>года</w:t>
      </w:r>
      <w:r w:rsidRPr="00C758FC">
        <w:rPr>
          <w:rFonts w:ascii="Times New Roman" w:hAnsi="Times New Roman" w:cs="Times New Roman"/>
          <w:sz w:val="26"/>
          <w:szCs w:val="26"/>
        </w:rPr>
        <w:t xml:space="preserve"> в Камчатском крае открыто 87 «окон» </w:t>
      </w:r>
      <w:proofErr w:type="gramStart"/>
      <w:r w:rsidRPr="00C758FC">
        <w:rPr>
          <w:rFonts w:ascii="Times New Roman" w:hAnsi="Times New Roman" w:cs="Times New Roman"/>
          <w:sz w:val="26"/>
          <w:szCs w:val="26"/>
        </w:rPr>
        <w:t>прима-выдачи</w:t>
      </w:r>
      <w:proofErr w:type="gramEnd"/>
      <w:r w:rsidRPr="00C758FC">
        <w:rPr>
          <w:rFonts w:ascii="Times New Roman" w:hAnsi="Times New Roman" w:cs="Times New Roman"/>
          <w:sz w:val="26"/>
          <w:szCs w:val="26"/>
        </w:rPr>
        <w:t xml:space="preserve"> документов в 32 офисах МФЦ. Значение Показателя «доля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</w:t>
      </w:r>
      <w:r w:rsidR="000E1934" w:rsidRPr="00C758FC">
        <w:rPr>
          <w:rFonts w:ascii="Times New Roman" w:hAnsi="Times New Roman" w:cs="Times New Roman"/>
          <w:sz w:val="26"/>
          <w:szCs w:val="26"/>
        </w:rPr>
        <w:t xml:space="preserve">и муниципальных </w:t>
      </w:r>
      <w:r w:rsidRPr="00C758FC">
        <w:rPr>
          <w:rFonts w:ascii="Times New Roman" w:hAnsi="Times New Roman" w:cs="Times New Roman"/>
          <w:sz w:val="26"/>
          <w:szCs w:val="26"/>
        </w:rPr>
        <w:t xml:space="preserve">услуг» на 31.12.2014 </w:t>
      </w:r>
      <w:r w:rsidR="00C758FC">
        <w:rPr>
          <w:rFonts w:ascii="Times New Roman" w:hAnsi="Times New Roman" w:cs="Times New Roman"/>
          <w:sz w:val="26"/>
          <w:szCs w:val="26"/>
        </w:rPr>
        <w:t xml:space="preserve">года </w:t>
      </w:r>
      <w:r w:rsidRPr="00C758FC">
        <w:rPr>
          <w:rFonts w:ascii="Times New Roman" w:hAnsi="Times New Roman" w:cs="Times New Roman"/>
          <w:sz w:val="26"/>
          <w:szCs w:val="26"/>
        </w:rPr>
        <w:t>составляет 93,4%.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>Таким образом, работы по созданию филиальной сети МФЦ в Камчатском крае завершены, целевое значение Показателя достигнуто.</w:t>
      </w:r>
    </w:p>
    <w:p w:rsidR="00D95A1D" w:rsidRPr="00C758FC" w:rsidRDefault="00D95A1D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 xml:space="preserve">Кроме того, в </w:t>
      </w:r>
      <w:proofErr w:type="gramStart"/>
      <w:r w:rsidRPr="00C758FC">
        <w:rPr>
          <w:rFonts w:ascii="Times New Roman" w:hAnsi="Times New Roman" w:cs="Times New Roman"/>
          <w:sz w:val="26"/>
          <w:szCs w:val="26"/>
        </w:rPr>
        <w:t>марте</w:t>
      </w:r>
      <w:proofErr w:type="gramEnd"/>
      <w:r w:rsidRPr="00C758FC">
        <w:rPr>
          <w:rFonts w:ascii="Times New Roman" w:hAnsi="Times New Roman" w:cs="Times New Roman"/>
          <w:sz w:val="26"/>
          <w:szCs w:val="26"/>
        </w:rPr>
        <w:t xml:space="preserve"> 2014 года начал  свою работу центр телефонного обслуживания  МФЦ по вопросам предоставления государственных и муниципальных услуг.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 xml:space="preserve">За 2013 год общее количество заявителей, воспользовавшихся возможностью подачи заявления на предоставление государственной услуги (выдачи результата) </w:t>
      </w:r>
      <w:r w:rsidRPr="00C758FC">
        <w:rPr>
          <w:rFonts w:ascii="Times New Roman" w:hAnsi="Times New Roman" w:cs="Times New Roman"/>
          <w:sz w:val="26"/>
          <w:szCs w:val="26"/>
        </w:rPr>
        <w:lastRenderedPageBreak/>
        <w:t>через МФЦ составило 86 529 чел. За 2014 год количество обращений в филиалы и офисы МФЦ составило 124320.</w:t>
      </w:r>
    </w:p>
    <w:p w:rsidR="00D64DFF" w:rsidRPr="00C758FC" w:rsidRDefault="00C758FC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D64DFF" w:rsidRPr="00C758FC">
        <w:rPr>
          <w:rFonts w:ascii="Times New Roman" w:hAnsi="Times New Roman" w:cs="Times New Roman"/>
          <w:sz w:val="26"/>
          <w:szCs w:val="26"/>
        </w:rPr>
        <w:t>а базе МФЦ (в т. ч. его филиалов и офисов) организовано предоставление 245 услуг, в том числе федеральных - 54, региональных - 61, муниципальных -130.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 xml:space="preserve">Проведен анализ административных регламентов государственных и муниципальных услуг, предоставляемых на базе МФЦ, в части наличия в них положений о возможности оказания услуг в МФЦ. По состоянию на 31.12.2014 </w:t>
      </w:r>
      <w:r w:rsidR="0010626C">
        <w:rPr>
          <w:rFonts w:ascii="Times New Roman" w:hAnsi="Times New Roman" w:cs="Times New Roman"/>
          <w:sz w:val="26"/>
          <w:szCs w:val="26"/>
        </w:rPr>
        <w:t>года</w:t>
      </w:r>
      <w:bookmarkStart w:id="0" w:name="_GoBack"/>
      <w:bookmarkEnd w:id="0"/>
      <w:r w:rsidRPr="00C758FC">
        <w:rPr>
          <w:rFonts w:ascii="Times New Roman" w:hAnsi="Times New Roman" w:cs="Times New Roman"/>
          <w:sz w:val="26"/>
          <w:szCs w:val="26"/>
        </w:rPr>
        <w:t xml:space="preserve"> в МФЦ организовано предоставление 69 государственных услуг исполнительных органов государственной власти Камчатского края, в соответствии с постановлением Правительства Камчатского края от 28.12.2012 № 605-П «О предоставлении государственных услуг исполнительными органами государственной власти Камчатского края в многофункциональных центрах предоставления государственных и муниципальных услуг». 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 xml:space="preserve">В целях расширения перечня государственных услуг, предоставляемых в МФЦ, внесены соответствующие изменения в постановление Правительства Камчатского края от 28.12.2012 № 605-П «О предоставлении государственных услуг исполнительными органами государственной власти Камчатского края в многофункциональных центрах предоставления государственных и муниципальных услуг». 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>Перечень государственных услуг исполнительных органов государственной власти Камчатского края, предоставление которых организовано на базе МФЦ, расширен с 40 до 69 государственных услуг. Заключено 5 соглашений (дополнительных соглашений) о взаимодействии.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758FC">
        <w:rPr>
          <w:rFonts w:ascii="Times New Roman" w:hAnsi="Times New Roman" w:cs="Times New Roman"/>
          <w:sz w:val="26"/>
          <w:szCs w:val="26"/>
        </w:rPr>
        <w:t>В рамках реализации постановления Правительства Российской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(далее – Постановление № 797) количество государственных услуг, предоставление которых организуется по принципу «одного окна» в МФЦ федеральными органами исполнительной власти и органами государственных</w:t>
      </w:r>
      <w:proofErr w:type="gramEnd"/>
      <w:r w:rsidRPr="00C758FC">
        <w:rPr>
          <w:rFonts w:ascii="Times New Roman" w:hAnsi="Times New Roman" w:cs="Times New Roman"/>
          <w:sz w:val="26"/>
          <w:szCs w:val="26"/>
        </w:rPr>
        <w:t xml:space="preserve"> внебюджетных фондов, увеличено до 22. Заключено 7 соглашений (дополнительных соглашений) о взаимодействии с федеральными органами исполнительной власти и органами государственных внебюджетных фондов. 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 xml:space="preserve">Количество государственных услуг, предоставление которых организуется по принципу «одного окна» в МФЦ федеральными органами исполнительной власти и органами государственных внебюджетных фондов и результатом предоставления которых является документ, содержащий информацию из </w:t>
      </w:r>
      <w:proofErr w:type="gramStart"/>
      <w:r w:rsidRPr="00C758FC">
        <w:rPr>
          <w:rFonts w:ascii="Times New Roman" w:hAnsi="Times New Roman" w:cs="Times New Roman"/>
          <w:sz w:val="26"/>
          <w:szCs w:val="26"/>
        </w:rPr>
        <w:t>информационных систем органов, предоставляющих государственные услуги увеличено</w:t>
      </w:r>
      <w:proofErr w:type="gramEnd"/>
      <w:r w:rsidRPr="00C758FC">
        <w:rPr>
          <w:rFonts w:ascii="Times New Roman" w:hAnsi="Times New Roman" w:cs="Times New Roman"/>
          <w:sz w:val="26"/>
          <w:szCs w:val="26"/>
        </w:rPr>
        <w:t xml:space="preserve"> до 12. Заключено 3 соглашения (</w:t>
      </w:r>
      <w:proofErr w:type="gramStart"/>
      <w:r w:rsidRPr="00C758FC">
        <w:rPr>
          <w:rFonts w:ascii="Times New Roman" w:hAnsi="Times New Roman" w:cs="Times New Roman"/>
          <w:sz w:val="26"/>
          <w:szCs w:val="26"/>
        </w:rPr>
        <w:t>дополнительных</w:t>
      </w:r>
      <w:proofErr w:type="gramEnd"/>
      <w:r w:rsidRPr="00C758FC">
        <w:rPr>
          <w:rFonts w:ascii="Times New Roman" w:hAnsi="Times New Roman" w:cs="Times New Roman"/>
          <w:sz w:val="26"/>
          <w:szCs w:val="26"/>
        </w:rPr>
        <w:t xml:space="preserve"> соглашения) о взаимодействии.</w:t>
      </w:r>
    </w:p>
    <w:p w:rsidR="00D64DFF" w:rsidRPr="00C758FC" w:rsidRDefault="00D7638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D64DFF" w:rsidRPr="00C758FC">
        <w:rPr>
          <w:rFonts w:ascii="Times New Roman" w:hAnsi="Times New Roman" w:cs="Times New Roman"/>
          <w:sz w:val="26"/>
          <w:szCs w:val="26"/>
        </w:rPr>
        <w:t xml:space="preserve">еречень государственных услуг, предоставление которых организуется по принципу «одного окна» в МФЦ федеральными органами исполнительной власти и органами государственных внебюджетных фондов и перечень </w:t>
      </w:r>
      <w:proofErr w:type="gramStart"/>
      <w:r w:rsidR="00D64DFF" w:rsidRPr="00C758FC">
        <w:rPr>
          <w:rFonts w:ascii="Times New Roman" w:hAnsi="Times New Roman" w:cs="Times New Roman"/>
          <w:sz w:val="26"/>
          <w:szCs w:val="26"/>
        </w:rPr>
        <w:t>услуг</w:t>
      </w:r>
      <w:proofErr w:type="gramEnd"/>
      <w:r w:rsidR="00D64DFF" w:rsidRPr="00C758FC">
        <w:rPr>
          <w:rFonts w:ascii="Times New Roman" w:hAnsi="Times New Roman" w:cs="Times New Roman"/>
          <w:sz w:val="26"/>
          <w:szCs w:val="26"/>
        </w:rPr>
        <w:t xml:space="preserve"> предоставление которых организуется по принципу «одного окна» в МФЦ федеральными органами исполнительной власти и органами государственных внебюджетных фондов и результатом предоставления которых является документ, содержащий информацию из информационных систем органов, предоставляющих государственные услуги, полностью соответствуют требованиям Постановления № 797.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>Дополнительно, расширен перечень муниципальных услуг, предоставление которых организовано на базе МФЦ. В настоящее время количество муниципальных услуг составляет 126.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>В целях популяризации использования жителями Камчатского края информационно-аналитической системы «Мониторинга качества государственных услуг» (далее - ИАС МКГУ) для оценки качества предоставления государственных и муниципальных услуг, в том числе оказываемых в МФЦ и его филиалах, на портале ИАС МКГУ зарегистрировано учреждение КГКУ «МФЦ Камчатского края». Поданы заявки на создание учетных записей филиалов и дополнительных офисов. На сайте МФЦ размещена ссылка на официальный ресурс ИАС МКГУ в сети интернет. Кроме того, на сайте МФЦ размещен «</w:t>
      </w:r>
      <w:proofErr w:type="spellStart"/>
      <w:r w:rsidRPr="00C758FC">
        <w:rPr>
          <w:rFonts w:ascii="Times New Roman" w:hAnsi="Times New Roman" w:cs="Times New Roman"/>
          <w:sz w:val="26"/>
          <w:szCs w:val="26"/>
        </w:rPr>
        <w:t>Виджет</w:t>
      </w:r>
      <w:proofErr w:type="spellEnd"/>
      <w:r w:rsidRPr="00C758FC">
        <w:rPr>
          <w:rFonts w:ascii="Times New Roman" w:hAnsi="Times New Roman" w:cs="Times New Roman"/>
          <w:sz w:val="26"/>
          <w:szCs w:val="26"/>
        </w:rPr>
        <w:t>» портала ИАС МКГУ, при помощи которого каждый пользователь, зарегистрированный в единой системе идентификации и аутентификации (далее – ЕСИА), может оставить отзывы о качестве предоставления государственных и муниципальных услуг, в том числе в МФЦ. В зонах ожидания филиалов и офисов МФЦ размещена информация о возможности использования ИАС МКГУ получателями государственных и муниципальных услуг.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758FC">
        <w:rPr>
          <w:rFonts w:ascii="Times New Roman" w:hAnsi="Times New Roman" w:cs="Times New Roman"/>
          <w:sz w:val="26"/>
          <w:szCs w:val="26"/>
        </w:rPr>
        <w:t>В рамках выполнения мероприятий по завершению создания филиальной сети МФЦ проведено 80 экспертиз закупочной документации МФЦ на предмет соответствия нормам Федерального закона 05.04.2013 № 44-ФЗ "О контрактной системе в сфере закупок товаров, работ, услуг для обеспечения государственных и муниципальных нужд краевого государственного казенного учреждения «Многофункциональный центр предоставления государственных и муниципальных услуг в Камчатском крае».</w:t>
      </w:r>
      <w:proofErr w:type="gramEnd"/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 xml:space="preserve">В целях повышения качества и доступности государственных и муниципальных услуг, предоставление на базе МФЦ услуги «Прием заявлений, постановка на учет и зачисление детей в образовательные организации, реализующие основную общеобразовательную программу дошкольного образования (детские сады)» в пилотном режиме организовано в МФЦ </w:t>
      </w:r>
      <w:proofErr w:type="spellStart"/>
      <w:r w:rsidRPr="00C758FC">
        <w:rPr>
          <w:rFonts w:ascii="Times New Roman" w:hAnsi="Times New Roman" w:cs="Times New Roman"/>
          <w:sz w:val="26"/>
          <w:szCs w:val="26"/>
        </w:rPr>
        <w:t>Вилючинского</w:t>
      </w:r>
      <w:proofErr w:type="spellEnd"/>
      <w:r w:rsidRPr="00C758FC">
        <w:rPr>
          <w:rFonts w:ascii="Times New Roman" w:hAnsi="Times New Roman" w:cs="Times New Roman"/>
          <w:sz w:val="26"/>
          <w:szCs w:val="26"/>
        </w:rPr>
        <w:t xml:space="preserve"> городского округа. Опыт предоставления услуги на базе МФЦ выявил проблему задержки регистрации заявителя в электронной очереди, связанную с необходимостью передачи документов из МФЦ в орган местного самоуправления, выполняющий регистрацию заявления в электронной очереди. </w:t>
      </w:r>
      <w:proofErr w:type="gramStart"/>
      <w:r w:rsidRPr="00C758FC">
        <w:rPr>
          <w:rFonts w:ascii="Times New Roman" w:hAnsi="Times New Roman" w:cs="Times New Roman"/>
          <w:sz w:val="26"/>
          <w:szCs w:val="26"/>
        </w:rPr>
        <w:t xml:space="preserve">Позиция в электронной очереди заявителей, обратившихся за услугой в МФЦ, может отличаться в большую сторону от позиций в электронной очереди заявителей, обратившихся за услугой в орган местного самоуправления, через </w:t>
      </w:r>
      <w:r w:rsidRPr="00C758FC">
        <w:rPr>
          <w:rFonts w:ascii="Times New Roman" w:hAnsi="Times New Roman" w:cs="Times New Roman"/>
          <w:sz w:val="26"/>
          <w:szCs w:val="26"/>
        </w:rPr>
        <w:lastRenderedPageBreak/>
        <w:t>Портал государственных и муниципальных услуг Камчатского края или через Единый портал государственных и муниципальных услуг (на период времени, необходимый для передачи документов из МФЦ в орган местного самоуправления).</w:t>
      </w:r>
      <w:proofErr w:type="gramEnd"/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 xml:space="preserve">С учетом </w:t>
      </w:r>
      <w:proofErr w:type="gramStart"/>
      <w:r w:rsidRPr="00C758FC">
        <w:rPr>
          <w:rFonts w:ascii="Times New Roman" w:hAnsi="Times New Roman" w:cs="Times New Roman"/>
          <w:sz w:val="26"/>
          <w:szCs w:val="26"/>
        </w:rPr>
        <w:t>необходимости исключения задержек регистрации заявления</w:t>
      </w:r>
      <w:proofErr w:type="gramEnd"/>
      <w:r w:rsidRPr="00C758FC">
        <w:rPr>
          <w:rFonts w:ascii="Times New Roman" w:hAnsi="Times New Roman" w:cs="Times New Roman"/>
          <w:sz w:val="26"/>
          <w:szCs w:val="26"/>
        </w:rPr>
        <w:t xml:space="preserve"> в электронной очереди при подаче заявления на базе МФЦ, рассматривается вопрос о проведении в 2015 году интеграции АИС МФЦ и государственной информационной системы «Сетевой город»,  с использованием которой ведется электронная очередь в дошкольные образовательные организации (далее - ДОО) в Камчатском крае. Интеграция позволит регистрировать заявление в электронной очереди в ДОО непосредственно в момент обращения заявителя в МФЦ.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 xml:space="preserve">  В рамках выполнения мероприятий по популяризации среди населения получения услуг в электронной форме в зонах ожидания МФЦ на информационных стендах размещена информация о возможности получения государственных и муниципальных услуг в электронной форме с использованием Единого портала государственных услуг (далее - ЕПГУ)  и  Регионального портала государственных и муниципальных услуг (далее - РПГУ). На сайте МФЦ размещены ссылки на ЕПГУ и РПГУ. В разделе сайта,  содержащего информацию об услугах предоставляемых в МФЦ, для услуг, реализованных в электронной форме, созданы соответствующие ссылки на ЕПГУ и РПГУ.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 xml:space="preserve">В ходе выполнения мероприятий по обеспечению возможности регистрации и подтверждения учётных записей граждан, в рамках пилотного проекта по внедрению и использованию «АРМ ЕСИА», в Камчатском крае создано 22 центра обслуживания в </w:t>
      </w:r>
      <w:proofErr w:type="spellStart"/>
      <w:r w:rsidRPr="00C758FC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C758FC">
        <w:rPr>
          <w:rFonts w:ascii="Times New Roman" w:hAnsi="Times New Roman" w:cs="Times New Roman"/>
          <w:sz w:val="26"/>
          <w:szCs w:val="26"/>
        </w:rPr>
        <w:t>. на базе, МФЦ.</w:t>
      </w:r>
    </w:p>
    <w:p w:rsidR="00D64DFF" w:rsidRPr="00C758FC" w:rsidRDefault="00D64DFF" w:rsidP="00D7638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8FC">
        <w:rPr>
          <w:rFonts w:ascii="Times New Roman" w:hAnsi="Times New Roman" w:cs="Times New Roman"/>
          <w:sz w:val="26"/>
          <w:szCs w:val="26"/>
        </w:rPr>
        <w:t>Информация о возможности  регистрации и подтверждения учётных записей граждан в ЕСИА размещена на информационных стендах в зонах ожидания филиалов и офисов МФЦ, доступна на ЕПГУ и РПГУ.</w:t>
      </w:r>
    </w:p>
    <w:sectPr w:rsidR="00D64DFF" w:rsidRPr="00C758FC" w:rsidSect="00D7638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C4B" w:rsidRDefault="00923C4B" w:rsidP="00D7638F">
      <w:pPr>
        <w:spacing w:after="0" w:line="240" w:lineRule="auto"/>
      </w:pPr>
      <w:r>
        <w:separator/>
      </w:r>
    </w:p>
  </w:endnote>
  <w:endnote w:type="continuationSeparator" w:id="0">
    <w:p w:rsidR="00923C4B" w:rsidRDefault="00923C4B" w:rsidP="00D76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C4B" w:rsidRDefault="00923C4B" w:rsidP="00D7638F">
      <w:pPr>
        <w:spacing w:after="0" w:line="240" w:lineRule="auto"/>
      </w:pPr>
      <w:r>
        <w:separator/>
      </w:r>
    </w:p>
  </w:footnote>
  <w:footnote w:type="continuationSeparator" w:id="0">
    <w:p w:rsidR="00923C4B" w:rsidRDefault="00923C4B" w:rsidP="00D76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029336"/>
      <w:docPartObj>
        <w:docPartGallery w:val="Page Numbers (Top of Page)"/>
        <w:docPartUnique/>
      </w:docPartObj>
    </w:sdtPr>
    <w:sdtEndPr/>
    <w:sdtContent>
      <w:p w:rsidR="00D7638F" w:rsidRDefault="00D7638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26C">
          <w:rPr>
            <w:noProof/>
          </w:rPr>
          <w:t>5</w:t>
        </w:r>
        <w:r>
          <w:fldChar w:fldCharType="end"/>
        </w:r>
      </w:p>
    </w:sdtContent>
  </w:sdt>
  <w:p w:rsidR="00D7638F" w:rsidRDefault="00D7638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2F3"/>
    <w:rsid w:val="00000EE8"/>
    <w:rsid w:val="000E1934"/>
    <w:rsid w:val="0010626C"/>
    <w:rsid w:val="00324D6D"/>
    <w:rsid w:val="0039192E"/>
    <w:rsid w:val="00574A4B"/>
    <w:rsid w:val="005D2E5B"/>
    <w:rsid w:val="008F267D"/>
    <w:rsid w:val="00916DF3"/>
    <w:rsid w:val="00923C4B"/>
    <w:rsid w:val="009536E2"/>
    <w:rsid w:val="00B302F3"/>
    <w:rsid w:val="00BA1BEB"/>
    <w:rsid w:val="00C53CCC"/>
    <w:rsid w:val="00C758FC"/>
    <w:rsid w:val="00C805C3"/>
    <w:rsid w:val="00D64DFF"/>
    <w:rsid w:val="00D7638F"/>
    <w:rsid w:val="00D95A1D"/>
    <w:rsid w:val="00EF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E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76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638F"/>
  </w:style>
  <w:style w:type="paragraph" w:styleId="a7">
    <w:name w:val="footer"/>
    <w:basedOn w:val="a"/>
    <w:link w:val="a8"/>
    <w:uiPriority w:val="99"/>
    <w:unhideWhenUsed/>
    <w:rsid w:val="00D76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63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E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76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638F"/>
  </w:style>
  <w:style w:type="paragraph" w:styleId="a7">
    <w:name w:val="footer"/>
    <w:basedOn w:val="a"/>
    <w:link w:val="a8"/>
    <w:uiPriority w:val="99"/>
    <w:unhideWhenUsed/>
    <w:rsid w:val="00D76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6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minecon-031\F\06.%20&#1050;&#1043;&#1050;&#1059;%20&#1052;&#1060;&#1062;%20&#1050;&#1050;\06.%20&#1044;&#1086;&#1087;.%20&#1086;&#1092;&#1080;&#1089;&#1099;\&#1058;&#1077;&#1088;&#1088;&#1080;&#1090;&#1086;&#1088;&#1080;&#1072;&#1083;&#1100;&#1085;&#1072;&#1103;%20&#1089;&#1077;&#1090;&#1100;%20&#1052;&#1060;&#1062;-(&#1087;&#1088;&#1080;&#1085;&#1094;&#1080;&#1087;%20&#1054;&#1076;&#1085;&#1086;&#1075;&#1086;%20&#1086;&#1082;&#1085;&#1072;)\&#1057;&#1093;&#1077;&#1084;&#1072;%20&#1088;&#1072;&#1079;&#1084;&#1077;&#1097;&#1077;&#1085;&#1080;&#1103;%20&#1092;&#1080;&#1083;&#1080;&#1072;&#1083;&#1086;&#1074;%20&#1052;&#1060;&#1062;\&#1056;&#1040;&#1057;&#1063;&#1045;&#1058;%20&#1055;&#1054;&#1050;&#1040;&#1047;&#1040;&#1058;&#1045;&#1051;&#1045;&#1049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minecon-031\F\06.%20&#1050;&#1043;&#1050;&#1059;%20&#1052;&#1060;&#1062;%20&#1050;&#1050;\06.%20&#1044;&#1086;&#1087;.%20&#1086;&#1092;&#1080;&#1089;&#1099;\&#1058;&#1077;&#1088;&#1088;&#1080;&#1090;&#1086;&#1088;&#1080;&#1072;&#1083;&#1100;&#1085;&#1072;&#1103;%20&#1089;&#1077;&#1090;&#1100;%20&#1052;&#1060;&#1062;-(&#1087;&#1088;&#1080;&#1085;&#1094;&#1080;&#1087;%20&#1054;&#1076;&#1085;&#1086;&#1075;&#1086;%20&#1086;&#1082;&#1085;&#1072;)\&#1057;&#1093;&#1077;&#1084;&#1072;%20&#1088;&#1072;&#1079;&#1084;&#1077;&#1097;&#1077;&#1085;&#1080;&#1103;%20&#1092;&#1080;&#1083;&#1080;&#1072;&#1083;&#1086;&#1074;%20&#1052;&#1060;&#1062;\&#1056;&#1040;&#1057;&#1063;&#1045;&#1058;%20&#1055;&#1054;&#1050;&#1040;&#1047;&#1040;&#1058;&#1045;&#1051;&#1045;&#1049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800" b="1" i="0" u="none" strike="noStrike" baseline="0">
                <a:effectLst/>
              </a:rPr>
              <a:t>Прирост значения показателя «доля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услуг» </a:t>
            </a:r>
            <a:r>
              <a:rPr lang="ru-RU" sz="800" baseline="0"/>
              <a:t> </a:t>
            </a:r>
            <a:endParaRPr lang="ru-RU" sz="800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значение показателя</c:v>
          </c:tx>
          <c:cat>
            <c:strRef>
              <c:f>'для диаграммы'!$H$8:$H$39</c:f>
              <c:strCache>
                <c:ptCount val="32"/>
                <c:pt idx="0">
                  <c:v>май 2010</c:v>
                </c:pt>
                <c:pt idx="1">
                  <c:v>сент.2013</c:v>
                </c:pt>
                <c:pt idx="2">
                  <c:v>сент.2013</c:v>
                </c:pt>
                <c:pt idx="3">
                  <c:v>дек.2013</c:v>
                </c:pt>
                <c:pt idx="4">
                  <c:v>дек.2013</c:v>
                </c:pt>
                <c:pt idx="5">
                  <c:v>дек.2013</c:v>
                </c:pt>
                <c:pt idx="6">
                  <c:v>дек.2013</c:v>
                </c:pt>
                <c:pt idx="7">
                  <c:v>дек.2013</c:v>
                </c:pt>
                <c:pt idx="8">
                  <c:v>дек.2013</c:v>
                </c:pt>
                <c:pt idx="9">
                  <c:v>дек.2013</c:v>
                </c:pt>
                <c:pt idx="10">
                  <c:v>дек.2013</c:v>
                </c:pt>
                <c:pt idx="11">
                  <c:v>декабрь 2013</c:v>
                </c:pt>
                <c:pt idx="12">
                  <c:v>декабрь 2013</c:v>
                </c:pt>
                <c:pt idx="13">
                  <c:v>март 2014</c:v>
                </c:pt>
                <c:pt idx="14">
                  <c:v>апрель 2014</c:v>
                </c:pt>
                <c:pt idx="15">
                  <c:v>апрель 2014</c:v>
                </c:pt>
                <c:pt idx="16">
                  <c:v>май 2014</c:v>
                </c:pt>
                <c:pt idx="17">
                  <c:v>август 2014</c:v>
                </c:pt>
                <c:pt idx="18">
                  <c:v>сент.2014</c:v>
                </c:pt>
                <c:pt idx="19">
                  <c:v>сент.2014</c:v>
                </c:pt>
                <c:pt idx="20">
                  <c:v>сент.2014</c:v>
                </c:pt>
                <c:pt idx="21">
                  <c:v>октябрь 2014</c:v>
                </c:pt>
                <c:pt idx="22">
                  <c:v>октябрь 2014</c:v>
                </c:pt>
                <c:pt idx="23">
                  <c:v>октябрь 2014</c:v>
                </c:pt>
                <c:pt idx="24">
                  <c:v>ноябрь 2014</c:v>
                </c:pt>
                <c:pt idx="25">
                  <c:v>ноябрь 2014</c:v>
                </c:pt>
                <c:pt idx="26">
                  <c:v>декабрь 2014</c:v>
                </c:pt>
                <c:pt idx="27">
                  <c:v>декабрь 2014</c:v>
                </c:pt>
                <c:pt idx="28">
                  <c:v>декабрь 2014</c:v>
                </c:pt>
                <c:pt idx="29">
                  <c:v>декабрь 2014</c:v>
                </c:pt>
                <c:pt idx="30">
                  <c:v>декабрь 2014</c:v>
                </c:pt>
                <c:pt idx="31">
                  <c:v>декабрь 2014</c:v>
                </c:pt>
              </c:strCache>
            </c:strRef>
          </c:cat>
          <c:val>
            <c:numRef>
              <c:f>'для диаграммы'!$AA$8:$AA$39</c:f>
              <c:numCache>
                <c:formatCode>0.00</c:formatCode>
                <c:ptCount val="32"/>
                <c:pt idx="0">
                  <c:v>18.757972138158717</c:v>
                </c:pt>
                <c:pt idx="1">
                  <c:v>26.573793862391515</c:v>
                </c:pt>
                <c:pt idx="2">
                  <c:v>33.32728909786659</c:v>
                </c:pt>
                <c:pt idx="3">
                  <c:v>33.799989995748192</c:v>
                </c:pt>
                <c:pt idx="4">
                  <c:v>34.075106920441186</c:v>
                </c:pt>
                <c:pt idx="5">
                  <c:v>34.826988970312385</c:v>
                </c:pt>
                <c:pt idx="6">
                  <c:v>35.343145836980717</c:v>
                </c:pt>
                <c:pt idx="7">
                  <c:v>35.975602130905635</c:v>
                </c:pt>
                <c:pt idx="8">
                  <c:v>36.566478253257635</c:v>
                </c:pt>
                <c:pt idx="9">
                  <c:v>37.815759197659006</c:v>
                </c:pt>
                <c:pt idx="10">
                  <c:v>38.169034339594326</c:v>
                </c:pt>
                <c:pt idx="11">
                  <c:v>50.250106295175442</c:v>
                </c:pt>
                <c:pt idx="12">
                  <c:v>51.101718230247847</c:v>
                </c:pt>
                <c:pt idx="13">
                  <c:v>58.91753995448066</c:v>
                </c:pt>
                <c:pt idx="14">
                  <c:v>59.460583247880351</c:v>
                </c:pt>
                <c:pt idx="15">
                  <c:v>61.061888802741159</c:v>
                </c:pt>
                <c:pt idx="16">
                  <c:v>63.531375834729765</c:v>
                </c:pt>
                <c:pt idx="17">
                  <c:v>64.422066878423337</c:v>
                </c:pt>
                <c:pt idx="18">
                  <c:v>64.638408823750098</c:v>
                </c:pt>
                <c:pt idx="19">
                  <c:v>64.943225870995164</c:v>
                </c:pt>
                <c:pt idx="20">
                  <c:v>65.261486131605935</c:v>
                </c:pt>
                <c:pt idx="21">
                  <c:v>65.722932246204635</c:v>
                </c:pt>
                <c:pt idx="22">
                  <c:v>66.36289172898482</c:v>
                </c:pt>
                <c:pt idx="23">
                  <c:v>66.930007753295158</c:v>
                </c:pt>
                <c:pt idx="24">
                  <c:v>67.122276967711286</c:v>
                </c:pt>
                <c:pt idx="25">
                  <c:v>67.642498061676221</c:v>
                </c:pt>
                <c:pt idx="26">
                  <c:v>68.169284445889502</c:v>
                </c:pt>
                <c:pt idx="27">
                  <c:v>68.698884525923518</c:v>
                </c:pt>
                <c:pt idx="28">
                  <c:v>69.165958032163672</c:v>
                </c:pt>
                <c:pt idx="29">
                  <c:v>70.127304104244303</c:v>
                </c:pt>
                <c:pt idx="30">
                  <c:v>70.7569467023485</c:v>
                </c:pt>
                <c:pt idx="31">
                  <c:v>93.488795237976134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780160"/>
        <c:axId val="210911616"/>
      </c:lineChart>
      <c:catAx>
        <c:axId val="210780160"/>
        <c:scaling>
          <c:orientation val="minMax"/>
        </c:scaling>
        <c:delete val="0"/>
        <c:axPos val="b"/>
        <c:numFmt formatCode="@" sourceLinked="1"/>
        <c:majorTickMark val="out"/>
        <c:minorTickMark val="none"/>
        <c:tickLblPos val="nextTo"/>
        <c:crossAx val="210911616"/>
        <c:crosses val="autoZero"/>
        <c:auto val="1"/>
        <c:lblAlgn val="ctr"/>
        <c:lblOffset val="100"/>
        <c:noMultiLvlLbl val="0"/>
      </c:catAx>
      <c:valAx>
        <c:axId val="210911616"/>
        <c:scaling>
          <c:orientation val="minMax"/>
        </c:scaling>
        <c:delete val="0"/>
        <c:axPos val="l"/>
        <c:majorGridlines/>
        <c:numFmt formatCode="#,##0.00" sourceLinked="0"/>
        <c:majorTickMark val="out"/>
        <c:minorTickMark val="none"/>
        <c:tickLblPos val="nextTo"/>
        <c:crossAx val="21078016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800" b="1" i="0" baseline="0">
                <a:effectLst/>
              </a:rPr>
              <a:t>Прирост количества рабочих мест (окон), остуществляющих прием и выдачу документов по принципу "одного окна" в филиалах и офисах КГКУ "МФЦ Камчатского края"</a:t>
            </a:r>
            <a:endParaRPr lang="ru-RU" sz="8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 sz="800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количество открытых "окон"</c:v>
          </c:tx>
          <c:invertIfNegative val="0"/>
          <c:cat>
            <c:strRef>
              <c:f>'для диаграммы'!$H$8:$H$39</c:f>
              <c:strCache>
                <c:ptCount val="32"/>
                <c:pt idx="0">
                  <c:v>май 2010</c:v>
                </c:pt>
                <c:pt idx="1">
                  <c:v>сент.2013</c:v>
                </c:pt>
                <c:pt idx="2">
                  <c:v>сент.2013</c:v>
                </c:pt>
                <c:pt idx="3">
                  <c:v>дек.2013</c:v>
                </c:pt>
                <c:pt idx="4">
                  <c:v>дек.2013</c:v>
                </c:pt>
                <c:pt idx="5">
                  <c:v>дек.2013</c:v>
                </c:pt>
                <c:pt idx="6">
                  <c:v>дек.2013</c:v>
                </c:pt>
                <c:pt idx="7">
                  <c:v>дек.2013</c:v>
                </c:pt>
                <c:pt idx="8">
                  <c:v>дек.2013</c:v>
                </c:pt>
                <c:pt idx="9">
                  <c:v>дек.2013</c:v>
                </c:pt>
                <c:pt idx="10">
                  <c:v>дек.2013</c:v>
                </c:pt>
                <c:pt idx="11">
                  <c:v>декабрь 2013</c:v>
                </c:pt>
                <c:pt idx="12">
                  <c:v>декабрь 2013</c:v>
                </c:pt>
                <c:pt idx="13">
                  <c:v>март 2014</c:v>
                </c:pt>
                <c:pt idx="14">
                  <c:v>апрель 2014</c:v>
                </c:pt>
                <c:pt idx="15">
                  <c:v>апрель 2014</c:v>
                </c:pt>
                <c:pt idx="16">
                  <c:v>май 2014</c:v>
                </c:pt>
                <c:pt idx="17">
                  <c:v>август 2014</c:v>
                </c:pt>
                <c:pt idx="18">
                  <c:v>сент.2014</c:v>
                </c:pt>
                <c:pt idx="19">
                  <c:v>сент.2014</c:v>
                </c:pt>
                <c:pt idx="20">
                  <c:v>сент.2014</c:v>
                </c:pt>
                <c:pt idx="21">
                  <c:v>октябрь 2014</c:v>
                </c:pt>
                <c:pt idx="22">
                  <c:v>октябрь 2014</c:v>
                </c:pt>
                <c:pt idx="23">
                  <c:v>октябрь 2014</c:v>
                </c:pt>
                <c:pt idx="24">
                  <c:v>ноябрь 2014</c:v>
                </c:pt>
                <c:pt idx="25">
                  <c:v>ноябрь 2014</c:v>
                </c:pt>
                <c:pt idx="26">
                  <c:v>декабрь 2014</c:v>
                </c:pt>
                <c:pt idx="27">
                  <c:v>декабрь 2014</c:v>
                </c:pt>
                <c:pt idx="28">
                  <c:v>декабрь 2014</c:v>
                </c:pt>
                <c:pt idx="29">
                  <c:v>декабрь 2014</c:v>
                </c:pt>
                <c:pt idx="30">
                  <c:v>декабрь 2014</c:v>
                </c:pt>
                <c:pt idx="31">
                  <c:v>декабрь 2014</c:v>
                </c:pt>
              </c:strCache>
            </c:strRef>
          </c:cat>
          <c:val>
            <c:numRef>
              <c:f>'для диаграммы'!$Z$8:$Z$39</c:f>
              <c:numCache>
                <c:formatCode>General</c:formatCode>
                <c:ptCount val="32"/>
                <c:pt idx="0">
                  <c:v>12</c:v>
                </c:pt>
                <c:pt idx="1">
                  <c:v>17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26</c:v>
                </c:pt>
                <c:pt idx="6">
                  <c:v>27</c:v>
                </c:pt>
                <c:pt idx="7">
                  <c:v>28</c:v>
                </c:pt>
                <c:pt idx="8">
                  <c:v>30</c:v>
                </c:pt>
                <c:pt idx="9">
                  <c:v>32</c:v>
                </c:pt>
                <c:pt idx="10">
                  <c:v>33</c:v>
                </c:pt>
                <c:pt idx="11">
                  <c:v>41</c:v>
                </c:pt>
                <c:pt idx="12">
                  <c:v>43</c:v>
                </c:pt>
                <c:pt idx="13">
                  <c:v>48</c:v>
                </c:pt>
                <c:pt idx="14">
                  <c:v>49</c:v>
                </c:pt>
                <c:pt idx="15">
                  <c:v>52</c:v>
                </c:pt>
                <c:pt idx="16">
                  <c:v>56</c:v>
                </c:pt>
                <c:pt idx="17">
                  <c:v>58</c:v>
                </c:pt>
                <c:pt idx="18">
                  <c:v>59</c:v>
                </c:pt>
                <c:pt idx="19">
                  <c:v>60</c:v>
                </c:pt>
                <c:pt idx="20">
                  <c:v>61</c:v>
                </c:pt>
                <c:pt idx="21">
                  <c:v>62</c:v>
                </c:pt>
                <c:pt idx="22">
                  <c:v>63</c:v>
                </c:pt>
                <c:pt idx="23">
                  <c:v>64</c:v>
                </c:pt>
                <c:pt idx="24">
                  <c:v>65</c:v>
                </c:pt>
                <c:pt idx="25">
                  <c:v>66</c:v>
                </c:pt>
                <c:pt idx="26">
                  <c:v>67</c:v>
                </c:pt>
                <c:pt idx="27">
                  <c:v>68</c:v>
                </c:pt>
                <c:pt idx="28">
                  <c:v>69</c:v>
                </c:pt>
                <c:pt idx="29">
                  <c:v>71</c:v>
                </c:pt>
                <c:pt idx="30">
                  <c:v>72</c:v>
                </c:pt>
                <c:pt idx="31">
                  <c:v>87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50581376"/>
        <c:axId val="250582912"/>
      </c:barChart>
      <c:catAx>
        <c:axId val="250581376"/>
        <c:scaling>
          <c:orientation val="minMax"/>
        </c:scaling>
        <c:delete val="0"/>
        <c:axPos val="b"/>
        <c:numFmt formatCode="@" sourceLinked="1"/>
        <c:majorTickMark val="out"/>
        <c:minorTickMark val="none"/>
        <c:tickLblPos val="nextTo"/>
        <c:crossAx val="250582912"/>
        <c:crosses val="autoZero"/>
        <c:auto val="1"/>
        <c:lblAlgn val="ctr"/>
        <c:lblOffset val="100"/>
        <c:noMultiLvlLbl val="0"/>
      </c:catAx>
      <c:valAx>
        <c:axId val="2505829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5058137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1554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DomashevskiySO</dc:creator>
  <cp:lastModifiedBy>Рожкова Марина Анатольевна</cp:lastModifiedBy>
  <cp:revision>8</cp:revision>
  <dcterms:created xsi:type="dcterms:W3CDTF">2015-02-24T05:15:00Z</dcterms:created>
  <dcterms:modified xsi:type="dcterms:W3CDTF">2015-02-26T06:06:00Z</dcterms:modified>
</cp:coreProperties>
</file>